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5" w:tblpY="1863"/>
        <w:tblOverlap w:val="never"/>
        <w:tblW w:w="135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96"/>
        <w:gridCol w:w="1389"/>
        <w:gridCol w:w="1095"/>
        <w:gridCol w:w="1650"/>
        <w:gridCol w:w="1785"/>
        <w:gridCol w:w="1755"/>
        <w:gridCol w:w="2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蚌埠工商学院学生普通门诊医疗费报销单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 月     日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6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就诊时间</w:t>
            </w:r>
          </w:p>
        </w:tc>
        <w:tc>
          <w:tcPr>
            <w:tcW w:w="11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就诊总金额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报销金额（60%）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说明：门诊病历、有效发票、药品打印单等报销凭证一并上交至学生处。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page" w:horzAnchor="page" w:tblpX="1745" w:tblpY="1863"/>
        <w:tblOverlap w:val="never"/>
        <w:tblW w:w="135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96"/>
        <w:gridCol w:w="1389"/>
        <w:gridCol w:w="1095"/>
        <w:gridCol w:w="1650"/>
        <w:gridCol w:w="1785"/>
        <w:gridCol w:w="1755"/>
        <w:gridCol w:w="2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蚌埠工商学院学生普通门诊医疗费报销单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2021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日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贡宇航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20金融专2班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18715261902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6217751012001804178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6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徽商银行光彩支行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肾结石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蚌埠第一人民医院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就诊时间</w:t>
            </w:r>
          </w:p>
        </w:tc>
        <w:tc>
          <w:tcPr>
            <w:tcW w:w="11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2021年5月22日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就诊总金额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991.11元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报销金额（60%）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说明：门诊病历、有效发票、药品打印单等报销凭证一并上交至学生处。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257FE"/>
    <w:rsid w:val="021B6ACB"/>
    <w:rsid w:val="02484AE6"/>
    <w:rsid w:val="050D766E"/>
    <w:rsid w:val="054F7D09"/>
    <w:rsid w:val="07C90514"/>
    <w:rsid w:val="08FC15F7"/>
    <w:rsid w:val="357F3695"/>
    <w:rsid w:val="408C0AD2"/>
    <w:rsid w:val="48423A55"/>
    <w:rsid w:val="59A257FE"/>
    <w:rsid w:val="77D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2021-06-02T01:45:00Z</dcterms:created>
  <dc:creator>Administrator</dc:creator>
  <cp:lastModifiedBy>忆~~念</cp:lastModifiedBy>
  <dcterms:modified xsi:type="dcterms:W3CDTF">2021-10-30T05:01:07Z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9B7344D66C7C4CE0B8F8E7FC0B3CDC4F</vt:lpwstr>
  </property>
</Properties>
</file>